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ABCD2F">
      <w:pPr>
        <w:spacing w:line="360" w:lineRule="auto"/>
        <w:jc w:val="center"/>
        <w:outlineLvl w:val="0"/>
        <w:rPr>
          <w:rFonts w:hint="default" w:ascii="黑体" w:hAnsi="黑体" w:eastAsia="黑体" w:cs="黑体"/>
          <w:color w:val="auto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浙江省核工业二六二大队国产信创计算机采购项目询价公告</w:t>
      </w:r>
    </w:p>
    <w:p w14:paraId="0B328676">
      <w:pPr>
        <w:spacing w:line="360" w:lineRule="auto"/>
        <w:ind w:firstLine="560" w:firstLineChars="200"/>
        <w:outlineLvl w:val="0"/>
        <w:rPr>
          <w:rFonts w:hint="eastAsia" w:ascii="黑体" w:hAnsi="黑体" w:eastAsia="黑体" w:cs="黑体"/>
          <w:color w:val="auto"/>
          <w:sz w:val="28"/>
          <w:szCs w:val="28"/>
        </w:rPr>
      </w:pPr>
    </w:p>
    <w:p w14:paraId="592613A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560" w:firstLineChars="200"/>
        <w:textAlignment w:val="baseline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因安可替代工作需要，我单位需采购一批信创计算机，</w:t>
      </w:r>
      <w:r>
        <w:rPr>
          <w:rFonts w:hint="default" w:ascii="仿宋_GB2312" w:hAnsi="仿宋_GB2312" w:eastAsia="仿宋_GB2312" w:cs="仿宋_GB2312"/>
          <w:color w:val="auto"/>
          <w:sz w:val="28"/>
          <w:szCs w:val="28"/>
          <w:lang w:eastAsia="zh-CN"/>
        </w:rPr>
        <w:t>欢迎入驻政采云且入围框架协议内具有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相应供货能力的供应商参与报价。</w:t>
      </w:r>
    </w:p>
    <w:p w14:paraId="3E829945">
      <w:pPr>
        <w:spacing w:line="360" w:lineRule="auto"/>
        <w:ind w:firstLine="560" w:firstLineChars="200"/>
        <w:outlineLvl w:val="0"/>
        <w:rPr>
          <w:rFonts w:hint="eastAsia" w:ascii="黑体" w:hAnsi="黑体" w:eastAsia="黑体" w:cs="黑体"/>
          <w:color w:val="auto"/>
          <w:sz w:val="28"/>
          <w:szCs w:val="28"/>
        </w:rPr>
      </w:pPr>
      <w:r>
        <w:rPr>
          <w:rFonts w:hint="eastAsia" w:ascii="黑体" w:hAnsi="黑体" w:eastAsia="黑体" w:cs="黑体"/>
          <w:color w:val="auto"/>
          <w:sz w:val="28"/>
          <w:szCs w:val="28"/>
        </w:rPr>
        <w:t>一、项目概况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4"/>
        <w:gridCol w:w="1590"/>
        <w:gridCol w:w="674"/>
        <w:gridCol w:w="674"/>
        <w:gridCol w:w="1132"/>
        <w:gridCol w:w="1361"/>
        <w:gridCol w:w="1949"/>
      </w:tblGrid>
      <w:tr w14:paraId="556C5C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  <w:jc w:val="center"/>
        </w:trPr>
        <w:tc>
          <w:tcPr>
            <w:tcW w:w="0" w:type="auto"/>
            <w:noWrap w:val="0"/>
            <w:vAlign w:val="center"/>
          </w:tcPr>
          <w:p w14:paraId="07EE2422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en-US" w:bidi="ar-SA"/>
              </w:rPr>
              <w:t>序号</w:t>
            </w:r>
          </w:p>
        </w:tc>
        <w:tc>
          <w:tcPr>
            <w:tcW w:w="0" w:type="auto"/>
            <w:noWrap w:val="0"/>
            <w:vAlign w:val="center"/>
          </w:tcPr>
          <w:p w14:paraId="549590FE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en-US" w:bidi="ar-SA"/>
              </w:rPr>
              <w:t>项目名称</w:t>
            </w:r>
          </w:p>
        </w:tc>
        <w:tc>
          <w:tcPr>
            <w:tcW w:w="0" w:type="auto"/>
            <w:noWrap w:val="0"/>
            <w:vAlign w:val="center"/>
          </w:tcPr>
          <w:p w14:paraId="5D1BE5F0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en-US" w:bidi="ar-SA"/>
              </w:rPr>
              <w:t>数量</w:t>
            </w:r>
          </w:p>
        </w:tc>
        <w:tc>
          <w:tcPr>
            <w:tcW w:w="0" w:type="auto"/>
            <w:noWrap w:val="0"/>
            <w:vAlign w:val="center"/>
          </w:tcPr>
          <w:p w14:paraId="4DFB1979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en-US" w:bidi="ar-SA"/>
              </w:rPr>
              <w:t>单位</w:t>
            </w:r>
          </w:p>
        </w:tc>
        <w:tc>
          <w:tcPr>
            <w:tcW w:w="0" w:type="auto"/>
            <w:noWrap w:val="0"/>
            <w:vAlign w:val="center"/>
          </w:tcPr>
          <w:p w14:paraId="3AF05F7A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zh-CN" w:bidi="ar-SA"/>
              </w:rPr>
              <w:t>预算单价</w:t>
            </w:r>
          </w:p>
          <w:p w14:paraId="15A193DC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zh-CN" w:bidi="ar-SA"/>
              </w:rPr>
              <w:t>（元）</w:t>
            </w:r>
          </w:p>
        </w:tc>
        <w:tc>
          <w:tcPr>
            <w:tcW w:w="0" w:type="auto"/>
            <w:noWrap w:val="0"/>
            <w:vAlign w:val="center"/>
          </w:tcPr>
          <w:p w14:paraId="36772C46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zh-CN" w:bidi="ar-SA"/>
              </w:rPr>
              <w:t>预算总金额</w:t>
            </w:r>
          </w:p>
          <w:p w14:paraId="6BE843C7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zh-CN" w:bidi="ar-SA"/>
              </w:rPr>
              <w:t>(元）</w:t>
            </w:r>
          </w:p>
        </w:tc>
        <w:tc>
          <w:tcPr>
            <w:tcW w:w="0" w:type="auto"/>
            <w:noWrap w:val="0"/>
            <w:vAlign w:val="center"/>
          </w:tcPr>
          <w:p w14:paraId="0E28E811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zh-CN" w:bidi="ar-SA"/>
              </w:rPr>
              <w:t>要求</w:t>
            </w:r>
          </w:p>
        </w:tc>
      </w:tr>
      <w:tr w14:paraId="11F90C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  <w:jc w:val="center"/>
        </w:trPr>
        <w:tc>
          <w:tcPr>
            <w:tcW w:w="0" w:type="auto"/>
            <w:noWrap w:val="0"/>
            <w:vAlign w:val="center"/>
          </w:tcPr>
          <w:p w14:paraId="7C162D34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en-US" w:bidi="ar-SA"/>
              </w:rPr>
              <w:t>1</w:t>
            </w:r>
          </w:p>
        </w:tc>
        <w:tc>
          <w:tcPr>
            <w:tcW w:w="0" w:type="auto"/>
            <w:noWrap w:val="0"/>
            <w:vAlign w:val="center"/>
          </w:tcPr>
          <w:p w14:paraId="64023E6B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zh-CN" w:bidi="ar-SA"/>
              </w:rPr>
              <w:t>便携式计算机</w:t>
            </w:r>
          </w:p>
        </w:tc>
        <w:tc>
          <w:tcPr>
            <w:tcW w:w="0" w:type="auto"/>
            <w:noWrap w:val="0"/>
            <w:vAlign w:val="center"/>
          </w:tcPr>
          <w:p w14:paraId="7C249994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zh-CN" w:bidi="ar-SA"/>
              </w:rPr>
              <w:t>19</w:t>
            </w:r>
          </w:p>
        </w:tc>
        <w:tc>
          <w:tcPr>
            <w:tcW w:w="0" w:type="auto"/>
            <w:noWrap w:val="0"/>
            <w:vAlign w:val="center"/>
          </w:tcPr>
          <w:p w14:paraId="5D038F28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zh-CN" w:bidi="ar-SA"/>
              </w:rPr>
              <w:t>台</w:t>
            </w:r>
          </w:p>
        </w:tc>
        <w:tc>
          <w:tcPr>
            <w:tcW w:w="0" w:type="auto"/>
            <w:noWrap w:val="0"/>
            <w:vAlign w:val="center"/>
          </w:tcPr>
          <w:p w14:paraId="6002A911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zh-CN" w:bidi="ar-SA"/>
              </w:rPr>
              <w:t>7000</w:t>
            </w:r>
          </w:p>
        </w:tc>
        <w:tc>
          <w:tcPr>
            <w:tcW w:w="0" w:type="auto"/>
            <w:noWrap w:val="0"/>
            <w:vAlign w:val="center"/>
          </w:tcPr>
          <w:p w14:paraId="023E0982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default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zh-CN" w:bidi="ar-SA"/>
              </w:rPr>
              <w:t>133000</w:t>
            </w:r>
          </w:p>
        </w:tc>
        <w:tc>
          <w:tcPr>
            <w:tcW w:w="0" w:type="auto"/>
            <w:noWrap w:val="0"/>
            <w:vAlign w:val="center"/>
          </w:tcPr>
          <w:p w14:paraId="15CFB693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right="0"/>
              <w:jc w:val="center"/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微软雅黑" w:hAnsi="微软雅黑" w:eastAsia="微软雅黑" w:cs="微软雅黑"/>
                <w:snapToGrid w:val="0"/>
                <w:color w:val="000000"/>
                <w:spacing w:val="-11"/>
                <w:kern w:val="0"/>
                <w:sz w:val="24"/>
                <w:szCs w:val="24"/>
                <w:lang w:val="en-US" w:eastAsia="en-US" w:bidi="ar-SA"/>
              </w:rPr>
              <w:t>具体要求见附件1</w:t>
            </w:r>
          </w:p>
        </w:tc>
      </w:tr>
    </w:tbl>
    <w:p w14:paraId="48AD751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Lines="50" w:line="360" w:lineRule="auto"/>
        <w:ind w:firstLine="560" w:firstLineChars="200"/>
        <w:textAlignment w:val="baseline"/>
        <w:outlineLvl w:val="0"/>
        <w:rPr>
          <w:rFonts w:hint="eastAsia" w:ascii="黑体" w:hAnsi="黑体" w:eastAsia="黑体" w:cs="黑体"/>
          <w:color w:val="auto"/>
          <w:sz w:val="28"/>
          <w:szCs w:val="28"/>
        </w:rPr>
      </w:pPr>
      <w:r>
        <w:rPr>
          <w:rFonts w:hint="eastAsia" w:ascii="黑体" w:hAnsi="黑体" w:eastAsia="黑体" w:cs="黑体"/>
          <w:color w:val="auto"/>
          <w:sz w:val="28"/>
          <w:szCs w:val="28"/>
        </w:rPr>
        <w:t>二、供应商资格要求</w:t>
      </w:r>
    </w:p>
    <w:p w14:paraId="663D5AD8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523" w:firstLineChars="187"/>
        <w:textAlignment w:val="baseline"/>
        <w:rPr>
          <w:rFonts w:hint="eastAsia" w:ascii="仿宋_GB2312" w:hAnsi="仿宋_GB2312" w:eastAsia="仿宋_GB2312" w:cs="仿宋_GB2312"/>
          <w:color w:val="auto"/>
          <w:sz w:val="28"/>
          <w:szCs w:val="28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1.</w:t>
      </w:r>
      <w:r>
        <w:rPr>
          <w:rFonts w:hint="default" w:ascii="仿宋_GB2312" w:hAnsi="仿宋_GB2312" w:eastAsia="仿宋_GB2312" w:cs="仿宋_GB2312"/>
          <w:color w:val="auto"/>
          <w:sz w:val="28"/>
          <w:szCs w:val="28"/>
        </w:rPr>
        <w:t>供应商须符合《中华人民共和国政府采购法》第二十二条规定的条件，包括合法注册、纳税记录、社保缴纳证明等。</w:t>
      </w:r>
    </w:p>
    <w:p w14:paraId="052DA11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523" w:firstLineChars="187"/>
        <w:textAlignment w:val="baseline"/>
        <w:rPr>
          <w:rFonts w:hint="eastAsia" w:ascii="仿宋_GB2312" w:hAnsi="仿宋_GB2312" w:eastAsia="仿宋_GB2312" w:cs="仿宋_GB2312"/>
          <w:color w:val="auto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2.</w:t>
      </w:r>
      <w:r>
        <w:rPr>
          <w:rFonts w:hint="default" w:ascii="仿宋_GB2312" w:hAnsi="仿宋_GB2312" w:eastAsia="仿宋_GB2312" w:cs="仿宋_GB2312"/>
          <w:color w:val="auto"/>
          <w:sz w:val="28"/>
          <w:szCs w:val="28"/>
        </w:rPr>
        <w:t>未被列入“信用中国”“中国政府采购网”的失信被执行人、重大税收违法或政府采购严重违法名单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eastAsia="zh-CN"/>
        </w:rPr>
        <w:t>。</w:t>
      </w:r>
    </w:p>
    <w:p w14:paraId="2BCDCA8B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560" w:firstLineChars="200"/>
        <w:textAlignment w:val="baseline"/>
        <w:rPr>
          <w:rFonts w:hint="eastAsia" w:ascii="仿宋_GB2312" w:hAnsi="仿宋_GB2312" w:eastAsia="仿宋_GB2312" w:cs="仿宋_GB2312"/>
          <w:color w:val="auto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3.</w:t>
      </w:r>
      <w:r>
        <w:rPr>
          <w:rFonts w:hint="default" w:ascii="仿宋_GB2312" w:hAnsi="仿宋_GB2312" w:eastAsia="仿宋_GB2312" w:cs="仿宋_GB2312"/>
          <w:color w:val="auto"/>
          <w:sz w:val="28"/>
          <w:szCs w:val="28"/>
        </w:rPr>
        <w:t>供应商须为</w:t>
      </w:r>
      <w:r>
        <w:rPr>
          <w:rFonts w:hint="eastAsia" w:ascii="仿宋_GB2312" w:hAnsi="仿宋_GB2312" w:eastAsia="仿宋_GB2312" w:cs="仿宋_GB2312"/>
          <w:b/>
          <w:bCs/>
          <w:color w:val="auto"/>
          <w:sz w:val="28"/>
          <w:szCs w:val="28"/>
          <w:lang w:val="en-US" w:eastAsia="zh-CN"/>
        </w:rPr>
        <w:t>浙江省政采云平台（省本级）</w:t>
      </w:r>
      <w:r>
        <w:rPr>
          <w:rFonts w:hint="default" w:ascii="仿宋_GB2312" w:hAnsi="仿宋_GB2312" w:eastAsia="仿宋_GB2312" w:cs="仿宋_GB2312"/>
          <w:b/>
          <w:bCs/>
          <w:color w:val="auto"/>
          <w:sz w:val="28"/>
          <w:szCs w:val="28"/>
        </w:rPr>
        <w:t>框架协议采购入围供应商</w:t>
      </w:r>
      <w:r>
        <w:rPr>
          <w:rFonts w:hint="default" w:ascii="仿宋_GB2312" w:hAnsi="仿宋_GB2312" w:eastAsia="仿宋_GB2312" w:cs="仿宋_GB2312"/>
          <w:color w:val="auto"/>
          <w:sz w:val="28"/>
          <w:szCs w:val="28"/>
        </w:rPr>
        <w:t>（品目：便携式计算机）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eastAsia="zh-CN"/>
        </w:rPr>
        <w:t>。</w:t>
      </w:r>
    </w:p>
    <w:p w14:paraId="084E83E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560" w:firstLineChars="200"/>
        <w:jc w:val="left"/>
        <w:textAlignment w:val="baseline"/>
        <w:outlineLvl w:val="0"/>
        <w:rPr>
          <w:rFonts w:hint="eastAsia" w:ascii="仿宋_GB2312" w:hAnsi="仿宋_GB2312" w:eastAsia="仿宋_GB2312" w:cs="仿宋_GB2312"/>
          <w:color w:val="auto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val="en-US" w:eastAsia="zh-CN"/>
        </w:rPr>
        <w:t>4.</w:t>
      </w:r>
      <w:r>
        <w:rPr>
          <w:rFonts w:hint="default" w:ascii="仿宋_GB2312" w:hAnsi="仿宋_GB2312" w:eastAsia="仿宋_GB2312" w:cs="仿宋_GB2312"/>
          <w:color w:val="auto"/>
          <w:sz w:val="28"/>
          <w:szCs w:val="28"/>
        </w:rPr>
        <w:t>设备类供应商需承诺满足《便携式计算机政府采购需求标准（2023年版）》及安全可靠测评要求</w:t>
      </w:r>
      <w:r>
        <w:rPr>
          <w:rFonts w:hint="eastAsia" w:ascii="仿宋_GB2312" w:hAnsi="仿宋_GB2312" w:eastAsia="仿宋_GB2312" w:cs="仿宋_GB2312"/>
          <w:color w:val="auto"/>
          <w:sz w:val="28"/>
          <w:szCs w:val="28"/>
          <w:lang w:eastAsia="zh-CN"/>
        </w:rPr>
        <w:t>。</w:t>
      </w:r>
    </w:p>
    <w:p w14:paraId="41158539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0" w:beforeAutospacing="0" w:after="0" w:afterAutospacing="0" w:line="360" w:lineRule="auto"/>
        <w:ind w:right="0" w:firstLine="560" w:firstLineChars="200"/>
        <w:jc w:val="left"/>
        <w:textAlignment w:val="baseline"/>
        <w:rPr>
          <w:rFonts w:hint="default" w:ascii="仿宋_GB2312" w:hAnsi="仿宋_GB2312" w:eastAsia="仿宋_GB2312" w:cs="仿宋_GB2312"/>
          <w:b w:val="0"/>
          <w:bCs w:val="0"/>
          <w:snapToGrid w:val="0"/>
          <w:color w:val="auto"/>
          <w:kern w:val="0"/>
          <w:sz w:val="28"/>
          <w:szCs w:val="28"/>
          <w:lang w:val="en-US" w:eastAsia="en-US" w:bidi="ar-SA"/>
        </w:rPr>
      </w:pPr>
      <w:r>
        <w:rPr>
          <w:rFonts w:hint="eastAsia" w:ascii="黑体" w:hAnsi="黑体" w:eastAsia="黑体" w:cs="黑体"/>
          <w:b w:val="0"/>
          <w:bCs w:val="0"/>
          <w:snapToGrid w:val="0"/>
          <w:color w:val="auto"/>
          <w:kern w:val="0"/>
          <w:sz w:val="28"/>
          <w:szCs w:val="28"/>
          <w:lang w:val="en-US" w:eastAsia="zh-CN" w:bidi="ar-SA"/>
        </w:rPr>
        <w:t>三、报价截止时间及地址</w:t>
      </w:r>
      <w:r>
        <w:rPr>
          <w:rFonts w:hint="default" w:ascii="仿宋_GB2312" w:hAnsi="仿宋_GB2312" w:eastAsia="仿宋_GB2312" w:cs="仿宋_GB2312"/>
          <w:b w:val="0"/>
          <w:bCs w:val="0"/>
          <w:snapToGrid w:val="0"/>
          <w:color w:val="auto"/>
          <w:kern w:val="0"/>
          <w:sz w:val="28"/>
          <w:szCs w:val="28"/>
          <w:lang w:val="en-US" w:eastAsia="en-US" w:bidi="ar-SA"/>
        </w:rPr>
        <w:t>‌</w:t>
      </w:r>
    </w:p>
    <w:p w14:paraId="1A78356A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bottom w:val="none" w:color="auto" w:sz="0" w:space="0"/>
          <w:right w:val="none" w:color="auto" w:sz="0" w:space="0"/>
        </w:pBd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afterAutospacing="0" w:line="360" w:lineRule="auto"/>
        <w:ind w:right="0" w:rightChars="0" w:firstLine="560" w:firstLineChars="200"/>
        <w:jc w:val="both"/>
        <w:textAlignment w:val="baseline"/>
        <w:rPr>
          <w:rFonts w:hint="default" w:ascii="仿宋_GB2312" w:hAnsi="仿宋_GB2312" w:eastAsia="仿宋_GB2312" w:cs="仿宋_GB2312"/>
          <w:b w:val="0"/>
          <w:bCs w:val="0"/>
          <w:snapToGrid w:val="0"/>
          <w:color w:val="auto"/>
          <w:kern w:val="0"/>
          <w:sz w:val="28"/>
          <w:szCs w:val="28"/>
          <w:lang w:val="en-US" w:eastAsia="en-US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kern w:val="0"/>
          <w:sz w:val="28"/>
          <w:szCs w:val="28"/>
          <w:lang w:val="en-US" w:eastAsia="zh-CN" w:bidi="ar-SA"/>
        </w:rPr>
        <w:t>询价响应方应于2025年3月21日17时前将询价报价文件提交到浙江省核工业二六二大队525办公室或电子版</w:t>
      </w:r>
      <w:r>
        <w:rPr>
          <w:rFonts w:hint="default" w:ascii="仿宋_GB2312" w:hAnsi="仿宋_GB2312" w:eastAsia="仿宋_GB2312" w:cs="仿宋_GB2312"/>
          <w:b w:val="0"/>
          <w:bCs w:val="0"/>
          <w:snapToGrid w:val="0"/>
          <w:color w:val="auto"/>
          <w:kern w:val="0"/>
          <w:sz w:val="28"/>
          <w:szCs w:val="28"/>
          <w:lang w:val="en-US" w:eastAsia="en-US" w:bidi="ar-SA"/>
        </w:rPr>
        <w:t>（盖章扫描件）</w:t>
      </w:r>
      <w:r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kern w:val="0"/>
          <w:sz w:val="28"/>
          <w:szCs w:val="28"/>
          <w:lang w:val="en-US" w:eastAsia="zh-CN" w:bidi="ar-SA"/>
        </w:rPr>
        <w:t>发至邮箱</w:t>
      </w:r>
      <w:r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kern w:val="0"/>
          <w:sz w:val="28"/>
          <w:szCs w:val="28"/>
          <w:highlight w:val="none"/>
          <w:lang w:val="en-US" w:eastAsia="zh-CN" w:bidi="ar-SA"/>
        </w:rPr>
        <w:t>392658127@qq.com</w:t>
      </w:r>
      <w:r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kern w:val="0"/>
          <w:sz w:val="28"/>
          <w:szCs w:val="28"/>
          <w:lang w:val="en-US" w:eastAsia="zh-CN" w:bidi="ar-SA"/>
        </w:rPr>
        <w:t>。报价文件需含有效的营业执照副本复印件(PDF)、相关资质证书等（加盖报价单位公章）。</w:t>
      </w:r>
    </w:p>
    <w:p w14:paraId="3A3EFE66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bottom w:val="none" w:color="auto" w:sz="0" w:space="0"/>
          <w:right w:val="none" w:color="auto" w:sz="0" w:space="0"/>
        </w:pBd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afterAutospacing="0" w:line="360" w:lineRule="auto"/>
        <w:ind w:right="0" w:rightChars="0" w:firstLine="560" w:firstLineChars="200"/>
        <w:jc w:val="left"/>
        <w:textAlignment w:val="baseline"/>
        <w:rPr>
          <w:rFonts w:hint="eastAsia" w:ascii="黑体" w:hAnsi="黑体" w:eastAsia="黑体" w:cs="黑体"/>
          <w:b w:val="0"/>
          <w:bCs w:val="0"/>
          <w:snapToGrid w:val="0"/>
          <w:color w:val="auto"/>
          <w:kern w:val="0"/>
          <w:sz w:val="28"/>
          <w:szCs w:val="28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 w:val="0"/>
          <w:snapToGrid w:val="0"/>
          <w:color w:val="auto"/>
          <w:kern w:val="0"/>
          <w:sz w:val="28"/>
          <w:szCs w:val="28"/>
          <w:lang w:val="en-US" w:eastAsia="zh-CN" w:bidi="ar-SA"/>
        </w:rPr>
        <w:t>四、联系方式</w:t>
      </w:r>
    </w:p>
    <w:p w14:paraId="1FFC68E6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bottom w:val="none" w:color="auto" w:sz="0" w:space="0"/>
          <w:right w:val="none" w:color="auto" w:sz="0" w:space="0"/>
        </w:pBd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afterAutospacing="0" w:line="360" w:lineRule="auto"/>
        <w:ind w:right="0" w:rightChars="0" w:firstLine="560" w:firstLineChars="200"/>
        <w:jc w:val="both"/>
        <w:textAlignment w:val="baseline"/>
        <w:rPr>
          <w:rFonts w:hint="default" w:ascii="仿宋_GB2312" w:hAnsi="仿宋_GB2312" w:eastAsia="仿宋_GB2312" w:cs="仿宋_GB2312"/>
          <w:b w:val="0"/>
          <w:bCs w:val="0"/>
          <w:snapToGrid w:val="0"/>
          <w:color w:val="auto"/>
          <w:kern w:val="0"/>
          <w:sz w:val="28"/>
          <w:szCs w:val="28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kern w:val="0"/>
          <w:sz w:val="28"/>
          <w:szCs w:val="28"/>
          <w:lang w:val="en-US" w:eastAsia="zh-CN" w:bidi="ar-SA"/>
        </w:rPr>
        <w:t>联系单位：浙江省核工业二六二大队</w:t>
      </w:r>
    </w:p>
    <w:p w14:paraId="5D0B9C2B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bottom w:val="none" w:color="auto" w:sz="0" w:space="0"/>
          <w:right w:val="none" w:color="auto" w:sz="0" w:space="0"/>
        </w:pBd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afterAutospacing="0" w:line="360" w:lineRule="auto"/>
        <w:ind w:right="0" w:rightChars="0" w:firstLine="560" w:firstLineChars="200"/>
        <w:jc w:val="both"/>
        <w:textAlignment w:val="baseline"/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kern w:val="0"/>
          <w:sz w:val="28"/>
          <w:szCs w:val="28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kern w:val="0"/>
          <w:sz w:val="28"/>
          <w:szCs w:val="28"/>
          <w:lang w:val="en-US" w:eastAsia="zh-CN" w:bidi="ar-SA"/>
        </w:rPr>
        <w:t>联系人：康银银</w:t>
      </w:r>
    </w:p>
    <w:p w14:paraId="177C1618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bottom w:val="none" w:color="auto" w:sz="0" w:space="0"/>
          <w:right w:val="none" w:color="auto" w:sz="0" w:space="0"/>
        </w:pBd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afterAutospacing="0" w:line="360" w:lineRule="auto"/>
        <w:ind w:right="0" w:rightChars="0" w:firstLine="560" w:firstLineChars="200"/>
        <w:jc w:val="both"/>
        <w:textAlignment w:val="baseline"/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kern w:val="0"/>
          <w:sz w:val="28"/>
          <w:szCs w:val="28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kern w:val="0"/>
          <w:sz w:val="28"/>
          <w:szCs w:val="28"/>
          <w:lang w:val="en-US" w:eastAsia="zh-CN" w:bidi="ar-SA"/>
        </w:rPr>
        <w:t>联系电话：0572-2112538</w:t>
      </w:r>
    </w:p>
    <w:p w14:paraId="27BB8BB1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bottom w:val="none" w:color="auto" w:sz="0" w:space="0"/>
          <w:right w:val="none" w:color="auto" w:sz="0" w:space="0"/>
        </w:pBd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afterAutospacing="0" w:line="360" w:lineRule="auto"/>
        <w:ind w:right="0" w:rightChars="0" w:firstLine="560" w:firstLineChars="200"/>
        <w:jc w:val="both"/>
        <w:textAlignment w:val="baseline"/>
        <w:rPr>
          <w:rFonts w:hint="default" w:ascii="仿宋_GB2312" w:hAnsi="仿宋_GB2312" w:eastAsia="仿宋_GB2312" w:cs="仿宋_GB2312"/>
          <w:b w:val="0"/>
          <w:bCs w:val="0"/>
          <w:snapToGrid w:val="0"/>
          <w:color w:val="auto"/>
          <w:kern w:val="0"/>
          <w:sz w:val="28"/>
          <w:szCs w:val="28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kern w:val="0"/>
          <w:sz w:val="28"/>
          <w:szCs w:val="28"/>
          <w:lang w:val="en-US" w:eastAsia="zh-CN" w:bidi="ar-SA"/>
        </w:rPr>
        <w:t>地址：浙江省湖州市环渚路666号</w:t>
      </w:r>
    </w:p>
    <w:p w14:paraId="53A8EC7A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bottom w:val="none" w:color="auto" w:sz="0" w:space="0"/>
          <w:right w:val="none" w:color="auto" w:sz="0" w:space="0"/>
        </w:pBd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afterAutospacing="0" w:line="360" w:lineRule="auto"/>
        <w:ind w:right="0" w:rightChars="0" w:firstLine="560" w:firstLineChars="200"/>
        <w:jc w:val="both"/>
        <w:textAlignment w:val="baseline"/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kern w:val="0"/>
          <w:sz w:val="28"/>
          <w:szCs w:val="28"/>
          <w:lang w:val="en-US" w:eastAsia="zh-CN" w:bidi="ar-SA"/>
        </w:rPr>
      </w:pPr>
    </w:p>
    <w:p w14:paraId="33C16970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bottom w:val="none" w:color="auto" w:sz="0" w:space="0"/>
          <w:right w:val="none" w:color="auto" w:sz="0" w:space="0"/>
        </w:pBd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afterAutospacing="0" w:line="360" w:lineRule="auto"/>
        <w:ind w:right="0" w:rightChars="0" w:firstLine="560" w:firstLineChars="200"/>
        <w:jc w:val="both"/>
        <w:textAlignment w:val="baseline"/>
        <w:rPr>
          <w:rFonts w:hint="default" w:ascii="仿宋_GB2312" w:hAnsi="仿宋_GB2312" w:eastAsia="仿宋_GB2312" w:cs="仿宋_GB2312"/>
          <w:b w:val="0"/>
          <w:bCs w:val="0"/>
          <w:snapToGrid w:val="0"/>
          <w:color w:val="auto"/>
          <w:kern w:val="0"/>
          <w:sz w:val="28"/>
          <w:szCs w:val="28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kern w:val="0"/>
          <w:sz w:val="28"/>
          <w:szCs w:val="28"/>
          <w:lang w:val="en-US" w:eastAsia="zh-CN" w:bidi="ar-SA"/>
        </w:rPr>
        <w:t xml:space="preserve">                               浙江省核工业二六二大队</w:t>
      </w:r>
    </w:p>
    <w:p w14:paraId="101C2A72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bottom w:val="none" w:color="auto" w:sz="0" w:space="0"/>
          <w:right w:val="none" w:color="auto" w:sz="0" w:space="0"/>
        </w:pBdr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Autospacing="0" w:afterAutospacing="0" w:line="360" w:lineRule="auto"/>
        <w:ind w:right="0" w:rightChars="0" w:firstLine="560" w:firstLineChars="200"/>
        <w:jc w:val="both"/>
        <w:textAlignment w:val="baseline"/>
        <w:rPr>
          <w:rFonts w:hint="default" w:ascii="仿宋_GB2312" w:hAnsi="仿宋_GB2312" w:eastAsia="仿宋_GB2312" w:cs="仿宋_GB2312"/>
          <w:b w:val="0"/>
          <w:bCs w:val="0"/>
          <w:snapToGrid w:val="0"/>
          <w:color w:val="auto"/>
          <w:kern w:val="0"/>
          <w:sz w:val="28"/>
          <w:szCs w:val="28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snapToGrid w:val="0"/>
          <w:color w:val="auto"/>
          <w:kern w:val="0"/>
          <w:sz w:val="28"/>
          <w:szCs w:val="28"/>
          <w:lang w:val="en-US" w:eastAsia="zh-CN" w:bidi="ar-SA"/>
        </w:rPr>
        <w:t xml:space="preserve">                                    2025年3月13日</w:t>
      </w:r>
    </w:p>
    <w:p w14:paraId="1455604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824" w:firstLineChars="0"/>
        <w:jc w:val="left"/>
        <w:textAlignment w:val="baseline"/>
        <w:outlineLvl w:val="0"/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</w:p>
    <w:p w14:paraId="0AE8184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824" w:firstLineChars="0"/>
        <w:jc w:val="left"/>
        <w:textAlignment w:val="baseline"/>
        <w:outlineLvl w:val="0"/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</w:p>
    <w:p w14:paraId="76913B48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824" w:firstLineChars="0"/>
        <w:jc w:val="left"/>
        <w:textAlignment w:val="baseline"/>
        <w:outlineLvl w:val="0"/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</w:p>
    <w:p w14:paraId="2EDE34D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824" w:firstLineChars="0"/>
        <w:jc w:val="left"/>
        <w:textAlignment w:val="baseline"/>
        <w:outlineLvl w:val="0"/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</w:p>
    <w:p w14:paraId="0F9383B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824" w:firstLineChars="0"/>
        <w:jc w:val="left"/>
        <w:textAlignment w:val="baseline"/>
        <w:outlineLvl w:val="0"/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</w:p>
    <w:p w14:paraId="724003E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824" w:firstLineChars="0"/>
        <w:jc w:val="left"/>
        <w:textAlignment w:val="baseline"/>
        <w:outlineLvl w:val="0"/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</w:p>
    <w:p w14:paraId="4D52D812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824" w:firstLineChars="0"/>
        <w:jc w:val="left"/>
        <w:textAlignment w:val="baseline"/>
        <w:outlineLvl w:val="0"/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</w:p>
    <w:p w14:paraId="4D533BB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824" w:firstLineChars="0"/>
        <w:jc w:val="left"/>
        <w:textAlignment w:val="baseline"/>
        <w:outlineLvl w:val="0"/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</w:p>
    <w:p w14:paraId="41F0D47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824" w:firstLineChars="0"/>
        <w:jc w:val="left"/>
        <w:textAlignment w:val="baseline"/>
        <w:outlineLvl w:val="0"/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</w:p>
    <w:p w14:paraId="36B62B73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824" w:firstLineChars="0"/>
        <w:jc w:val="left"/>
        <w:textAlignment w:val="baseline"/>
        <w:outlineLvl w:val="0"/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</w:p>
    <w:p w14:paraId="18A7B65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824" w:firstLineChars="0"/>
        <w:jc w:val="left"/>
        <w:textAlignment w:val="baseline"/>
        <w:outlineLvl w:val="0"/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</w:p>
    <w:p w14:paraId="571330D7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824" w:firstLineChars="0"/>
        <w:jc w:val="left"/>
        <w:textAlignment w:val="baseline"/>
        <w:outlineLvl w:val="0"/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</w:p>
    <w:p w14:paraId="2F7B5230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824" w:firstLineChars="0"/>
        <w:jc w:val="left"/>
        <w:textAlignment w:val="baseline"/>
        <w:outlineLvl w:val="0"/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</w:p>
    <w:p w14:paraId="480F937C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824" w:firstLineChars="0"/>
        <w:jc w:val="left"/>
        <w:textAlignment w:val="baseline"/>
        <w:outlineLvl w:val="0"/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</w:p>
    <w:p w14:paraId="595E3FD8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824" w:firstLineChars="0"/>
        <w:jc w:val="left"/>
        <w:textAlignment w:val="baseline"/>
        <w:outlineLvl w:val="0"/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</w:p>
    <w:p w14:paraId="420F761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824" w:firstLineChars="0"/>
        <w:jc w:val="left"/>
        <w:textAlignment w:val="baseline"/>
        <w:outlineLvl w:val="0"/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</w:p>
    <w:p w14:paraId="1B279312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824" w:firstLineChars="0"/>
        <w:jc w:val="left"/>
        <w:textAlignment w:val="baseline"/>
        <w:outlineLvl w:val="0"/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</w:p>
    <w:p w14:paraId="4B6E51F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824" w:firstLineChars="0"/>
        <w:jc w:val="left"/>
        <w:textAlignment w:val="baseline"/>
        <w:outlineLvl w:val="0"/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</w:p>
    <w:p w14:paraId="2C33A6C6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824" w:firstLineChars="0"/>
        <w:jc w:val="left"/>
        <w:textAlignment w:val="baseline"/>
        <w:outlineLvl w:val="0"/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</w:p>
    <w:p w14:paraId="6216DD09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824" w:firstLineChars="0"/>
        <w:jc w:val="left"/>
        <w:textAlignment w:val="baseline"/>
        <w:outlineLvl w:val="0"/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</w:p>
    <w:p w14:paraId="13DFF5B8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824" w:firstLineChars="0"/>
        <w:jc w:val="left"/>
        <w:textAlignment w:val="baseline"/>
        <w:outlineLvl w:val="0"/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</w:p>
    <w:p w14:paraId="6CD09318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left"/>
        <w:textAlignment w:val="baseline"/>
        <w:outlineLvl w:val="0"/>
        <w:rPr>
          <w:rFonts w:hint="default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pacing w:val="-9"/>
          <w:sz w:val="28"/>
          <w:szCs w:val="28"/>
          <w:lang w:val="en-US" w:eastAsia="zh-CN"/>
        </w:rPr>
        <w:t>附件1：</w:t>
      </w:r>
    </w:p>
    <w:p w14:paraId="2D860131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526" w:firstLineChars="200"/>
        <w:jc w:val="center"/>
        <w:textAlignment w:val="baseline"/>
        <w:outlineLvl w:val="0"/>
        <w:rPr>
          <w:rFonts w:hint="eastAsia" w:asciiTheme="majorEastAsia" w:hAnsiTheme="majorEastAsia" w:eastAsiaTheme="majorEastAsia" w:cstheme="majorEastAsia"/>
          <w:b/>
          <w:bCs/>
          <w:sz w:val="28"/>
          <w:szCs w:val="28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pacing w:val="-9"/>
          <w:sz w:val="28"/>
          <w:szCs w:val="28"/>
          <w:lang w:val="en-US" w:eastAsia="zh-CN"/>
        </w:rPr>
        <w:t>国产信创计算机配置要求</w:t>
      </w:r>
    </w:p>
    <w:tbl>
      <w:tblPr>
        <w:tblStyle w:val="8"/>
        <w:tblW w:w="8628" w:type="dxa"/>
        <w:tblInd w:w="12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94"/>
        <w:gridCol w:w="1069"/>
        <w:gridCol w:w="1329"/>
        <w:gridCol w:w="5436"/>
      </w:tblGrid>
      <w:tr w14:paraId="3C6E8A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4" w:hRule="atLeast"/>
        </w:trPr>
        <w:tc>
          <w:tcPr>
            <w:tcW w:w="8628" w:type="dxa"/>
            <w:gridSpan w:val="4"/>
            <w:vAlign w:val="top"/>
          </w:tcPr>
          <w:p w14:paraId="160CC716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pacing w:val="-11"/>
                <w:sz w:val="24"/>
                <w:szCs w:val="24"/>
              </w:rPr>
              <w:t>型号：华为擎云L540-031</w:t>
            </w:r>
          </w:p>
        </w:tc>
      </w:tr>
      <w:tr w14:paraId="721739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794" w:type="dxa"/>
            <w:vAlign w:val="top"/>
          </w:tcPr>
          <w:p w14:paraId="638BBF91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75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6"/>
                <w:sz w:val="24"/>
                <w:szCs w:val="24"/>
              </w:rPr>
              <w:t>序号</w:t>
            </w:r>
          </w:p>
        </w:tc>
        <w:tc>
          <w:tcPr>
            <w:tcW w:w="1069" w:type="dxa"/>
            <w:vAlign w:val="top"/>
          </w:tcPr>
          <w:p w14:paraId="09C5CBF4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311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8"/>
                <w:sz w:val="24"/>
                <w:szCs w:val="24"/>
              </w:rPr>
              <w:t>类别</w:t>
            </w:r>
          </w:p>
        </w:tc>
        <w:tc>
          <w:tcPr>
            <w:tcW w:w="1329" w:type="dxa"/>
            <w:vAlign w:val="top"/>
          </w:tcPr>
          <w:p w14:paraId="0B9D08A0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4"/>
                <w:sz w:val="24"/>
                <w:szCs w:val="24"/>
              </w:rPr>
              <w:t>配置项</w:t>
            </w:r>
          </w:p>
        </w:tc>
        <w:tc>
          <w:tcPr>
            <w:tcW w:w="5436" w:type="dxa"/>
            <w:vAlign w:val="top"/>
          </w:tcPr>
          <w:p w14:paraId="66353E5A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2443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  <w:sz w:val="24"/>
                <w:szCs w:val="24"/>
              </w:rPr>
              <w:t>配置值</w:t>
            </w:r>
          </w:p>
        </w:tc>
      </w:tr>
      <w:tr w14:paraId="5A3219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794" w:type="dxa"/>
            <w:vMerge w:val="restart"/>
            <w:tcBorders>
              <w:bottom w:val="nil"/>
            </w:tcBorders>
            <w:vAlign w:val="top"/>
          </w:tcPr>
          <w:p w14:paraId="3C44124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582AD05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4A4D8D2F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335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1</w:t>
            </w:r>
          </w:p>
        </w:tc>
        <w:tc>
          <w:tcPr>
            <w:tcW w:w="1069" w:type="dxa"/>
            <w:vMerge w:val="restart"/>
            <w:tcBorders>
              <w:bottom w:val="nil"/>
            </w:tcBorders>
            <w:vAlign w:val="top"/>
          </w:tcPr>
          <w:p w14:paraId="31B8F98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6880FA9A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40359C13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00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  <w:sz w:val="24"/>
                <w:szCs w:val="24"/>
              </w:rPr>
              <w:t>硬件配置</w:t>
            </w:r>
          </w:p>
        </w:tc>
        <w:tc>
          <w:tcPr>
            <w:tcW w:w="1329" w:type="dxa"/>
            <w:vAlign w:val="top"/>
          </w:tcPr>
          <w:p w14:paraId="51912773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  <w:position w:val="-2"/>
                <w:sz w:val="24"/>
                <w:szCs w:val="24"/>
              </w:rPr>
              <w:t>CPU</w:t>
            </w:r>
          </w:p>
        </w:tc>
        <w:tc>
          <w:tcPr>
            <w:tcW w:w="5436" w:type="dxa"/>
            <w:vAlign w:val="top"/>
          </w:tcPr>
          <w:p w14:paraId="5DC17E54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1"/>
                <w:sz w:val="24"/>
                <w:szCs w:val="24"/>
              </w:rPr>
              <w:t>麒麟9006C</w:t>
            </w:r>
          </w:p>
        </w:tc>
      </w:tr>
      <w:tr w14:paraId="1AB199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794" w:type="dxa"/>
            <w:vMerge w:val="continue"/>
            <w:tcBorders>
              <w:top w:val="nil"/>
              <w:bottom w:val="nil"/>
            </w:tcBorders>
            <w:vAlign w:val="top"/>
          </w:tcPr>
          <w:p w14:paraId="235ABA1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top"/>
          </w:tcPr>
          <w:p w14:paraId="1397E2C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329" w:type="dxa"/>
            <w:vAlign w:val="top"/>
          </w:tcPr>
          <w:p w14:paraId="285CBD68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4"/>
                <w:sz w:val="24"/>
                <w:szCs w:val="24"/>
              </w:rPr>
              <w:t>内存</w:t>
            </w:r>
          </w:p>
        </w:tc>
        <w:tc>
          <w:tcPr>
            <w:tcW w:w="5436" w:type="dxa"/>
            <w:vAlign w:val="top"/>
          </w:tcPr>
          <w:p w14:paraId="66B18FF1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6"/>
                <w:position w:val="-2"/>
                <w:sz w:val="24"/>
                <w:szCs w:val="24"/>
              </w:rPr>
              <w:t>16G</w:t>
            </w:r>
          </w:p>
        </w:tc>
      </w:tr>
      <w:tr w14:paraId="1B184A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794" w:type="dxa"/>
            <w:vMerge w:val="continue"/>
            <w:tcBorders>
              <w:top w:val="nil"/>
              <w:bottom w:val="nil"/>
            </w:tcBorders>
            <w:vAlign w:val="top"/>
          </w:tcPr>
          <w:p w14:paraId="2390E02A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top"/>
          </w:tcPr>
          <w:p w14:paraId="6EA4DC5D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329" w:type="dxa"/>
            <w:vAlign w:val="top"/>
          </w:tcPr>
          <w:p w14:paraId="49504CDD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3"/>
                <w:sz w:val="24"/>
                <w:szCs w:val="24"/>
              </w:rPr>
              <w:t>硬盘</w:t>
            </w:r>
          </w:p>
        </w:tc>
        <w:tc>
          <w:tcPr>
            <w:tcW w:w="5436" w:type="dxa"/>
            <w:vAlign w:val="top"/>
          </w:tcPr>
          <w:p w14:paraId="52ECC478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512G固态硬盘</w:t>
            </w:r>
          </w:p>
        </w:tc>
      </w:tr>
      <w:tr w14:paraId="237058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794" w:type="dxa"/>
            <w:vMerge w:val="continue"/>
            <w:tcBorders>
              <w:top w:val="nil"/>
              <w:bottom w:val="nil"/>
            </w:tcBorders>
            <w:vAlign w:val="top"/>
          </w:tcPr>
          <w:p w14:paraId="27BEB99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top"/>
          </w:tcPr>
          <w:p w14:paraId="5A18BEE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329" w:type="dxa"/>
            <w:vAlign w:val="top"/>
          </w:tcPr>
          <w:p w14:paraId="2BD804B4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5"/>
                <w:sz w:val="24"/>
                <w:szCs w:val="24"/>
              </w:rPr>
              <w:t>显卡</w:t>
            </w:r>
          </w:p>
        </w:tc>
        <w:tc>
          <w:tcPr>
            <w:tcW w:w="5436" w:type="dxa"/>
            <w:vAlign w:val="top"/>
          </w:tcPr>
          <w:p w14:paraId="7E09D9B9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  <w:sz w:val="24"/>
                <w:szCs w:val="24"/>
              </w:rPr>
              <w:t>集成显卡</w:t>
            </w:r>
          </w:p>
        </w:tc>
      </w:tr>
      <w:tr w14:paraId="061E47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794" w:type="dxa"/>
            <w:vMerge w:val="continue"/>
            <w:tcBorders>
              <w:top w:val="nil"/>
              <w:bottom w:val="nil"/>
            </w:tcBorders>
            <w:vAlign w:val="top"/>
          </w:tcPr>
          <w:p w14:paraId="27DF507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top"/>
          </w:tcPr>
          <w:p w14:paraId="2EC2878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329" w:type="dxa"/>
            <w:vAlign w:val="top"/>
          </w:tcPr>
          <w:p w14:paraId="6094C5E9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3"/>
                <w:sz w:val="24"/>
                <w:szCs w:val="24"/>
              </w:rPr>
              <w:t>屏幕</w:t>
            </w:r>
          </w:p>
        </w:tc>
        <w:tc>
          <w:tcPr>
            <w:tcW w:w="5436" w:type="dxa"/>
            <w:vAlign w:val="top"/>
          </w:tcPr>
          <w:p w14:paraId="5AA15D6A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14英寸</w:t>
            </w:r>
          </w:p>
        </w:tc>
      </w:tr>
      <w:tr w14:paraId="39AB0F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794" w:type="dxa"/>
            <w:vMerge w:val="continue"/>
            <w:tcBorders>
              <w:top w:val="nil"/>
            </w:tcBorders>
            <w:vAlign w:val="top"/>
          </w:tcPr>
          <w:p w14:paraId="28F32BD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69" w:type="dxa"/>
            <w:vMerge w:val="continue"/>
            <w:tcBorders>
              <w:top w:val="nil"/>
            </w:tcBorders>
            <w:vAlign w:val="top"/>
          </w:tcPr>
          <w:p w14:paraId="36D8A8F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329" w:type="dxa"/>
            <w:vAlign w:val="top"/>
          </w:tcPr>
          <w:p w14:paraId="21323875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7"/>
                <w:sz w:val="24"/>
                <w:szCs w:val="24"/>
              </w:rPr>
              <w:t>机身</w:t>
            </w:r>
          </w:p>
        </w:tc>
        <w:tc>
          <w:tcPr>
            <w:tcW w:w="5436" w:type="dxa"/>
            <w:vAlign w:val="top"/>
          </w:tcPr>
          <w:p w14:paraId="1DF40780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1"/>
                <w:sz w:val="24"/>
                <w:szCs w:val="24"/>
              </w:rPr>
              <w:t>机身厚度15.9mm,机器重量1.4kg</w:t>
            </w:r>
          </w:p>
        </w:tc>
      </w:tr>
      <w:tr w14:paraId="39FAF2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9" w:hRule="atLeast"/>
        </w:trPr>
        <w:tc>
          <w:tcPr>
            <w:tcW w:w="794" w:type="dxa"/>
            <w:vMerge w:val="restart"/>
            <w:tcBorders>
              <w:bottom w:val="nil"/>
            </w:tcBorders>
            <w:vAlign w:val="top"/>
          </w:tcPr>
          <w:p w14:paraId="75EE7A8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285108D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3CB0C50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63FF0A1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3F5D3EA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17CC013A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6BB8369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5192434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4FDD6BA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2F8A971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2F5D014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29F3EB50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335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</w:t>
            </w:r>
          </w:p>
        </w:tc>
        <w:tc>
          <w:tcPr>
            <w:tcW w:w="1069" w:type="dxa"/>
            <w:vMerge w:val="restart"/>
            <w:tcBorders>
              <w:bottom w:val="nil"/>
            </w:tcBorders>
            <w:vAlign w:val="top"/>
          </w:tcPr>
          <w:p w14:paraId="44C1F84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4CDBED9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1F45510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30F92DDF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3039E1A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5A6A79B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5CE23F8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159B177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34B17C8B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476CE22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23BD2AF4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50" w:right="121" w:hanging="50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3"/>
                <w:sz w:val="24"/>
                <w:szCs w:val="24"/>
              </w:rPr>
              <w:t>软件配置</w:t>
            </w:r>
            <w:r>
              <w:rPr>
                <w:rFonts w:hint="eastAsia" w:ascii="微软雅黑" w:hAnsi="微软雅黑" w:eastAsia="微软雅黑" w:cs="微软雅黑"/>
                <w:spacing w:val="4"/>
                <w:sz w:val="24"/>
                <w:szCs w:val="24"/>
              </w:rPr>
              <w:t>(预装正</w:t>
            </w:r>
            <w:r>
              <w:rPr>
                <w:rFonts w:hint="eastAsia" w:ascii="微软雅黑" w:hAnsi="微软雅黑" w:eastAsia="微软雅黑" w:cs="微软雅黑"/>
                <w:spacing w:val="12"/>
                <w:sz w:val="24"/>
                <w:szCs w:val="24"/>
              </w:rPr>
              <w:t>版软件)</w:t>
            </w:r>
          </w:p>
        </w:tc>
        <w:tc>
          <w:tcPr>
            <w:tcW w:w="1329" w:type="dxa"/>
            <w:vAlign w:val="top"/>
          </w:tcPr>
          <w:p w14:paraId="4D5C9BC7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pacing w:val="-2"/>
                <w:sz w:val="24"/>
                <w:szCs w:val="24"/>
              </w:rPr>
            </w:pPr>
          </w:p>
          <w:p w14:paraId="06CDF191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  <w:sz w:val="24"/>
                <w:szCs w:val="24"/>
              </w:rPr>
              <w:t>操作系统</w:t>
            </w:r>
          </w:p>
        </w:tc>
        <w:tc>
          <w:tcPr>
            <w:tcW w:w="5436" w:type="dxa"/>
            <w:vAlign w:val="top"/>
          </w:tcPr>
          <w:p w14:paraId="289A612F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 w:right="24" w:firstLine="30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1.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统信UOSV20专业版</w:t>
            </w:r>
          </w:p>
          <w:p w14:paraId="4B6FF750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 w:right="24" w:firstLine="30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2.银河麒麟V10专业版</w:t>
            </w:r>
          </w:p>
          <w:p w14:paraId="571EAD99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 w:right="24" w:firstLine="30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均含三年免费升级服务，根据用户需求选装其一，并允许用</w:t>
            </w:r>
            <w:r>
              <w:rPr>
                <w:rFonts w:hint="eastAsia" w:ascii="微软雅黑" w:hAnsi="微软雅黑" w:eastAsia="微软雅黑" w:cs="微软雅黑"/>
                <w:spacing w:val="-1"/>
                <w:sz w:val="24"/>
                <w:szCs w:val="24"/>
              </w:rPr>
              <w:t>户在3个月试用期内更换品牌或版本。</w:t>
            </w:r>
          </w:p>
        </w:tc>
      </w:tr>
      <w:tr w14:paraId="746A61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794" w:type="dxa"/>
            <w:vMerge w:val="continue"/>
            <w:tcBorders>
              <w:top w:val="nil"/>
              <w:bottom w:val="nil"/>
            </w:tcBorders>
            <w:vAlign w:val="top"/>
          </w:tcPr>
          <w:p w14:paraId="3CAE323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top"/>
          </w:tcPr>
          <w:p w14:paraId="3D3E378F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329" w:type="dxa"/>
            <w:vAlign w:val="top"/>
          </w:tcPr>
          <w:p w14:paraId="4A62A70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48C88C3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4A53EA72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  <w:sz w:val="24"/>
                <w:szCs w:val="24"/>
              </w:rPr>
              <w:t>流式软件</w:t>
            </w:r>
          </w:p>
        </w:tc>
        <w:tc>
          <w:tcPr>
            <w:tcW w:w="5436" w:type="dxa"/>
            <w:vAlign w:val="top"/>
          </w:tcPr>
          <w:p w14:paraId="3E7ED53F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 w:right="24" w:firstLine="30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1.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WPS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Office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for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Linux</w:t>
            </w:r>
          </w:p>
          <w:p w14:paraId="12FFCC2F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 w:right="24" w:firstLine="30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2.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永中Office</w:t>
            </w:r>
          </w:p>
          <w:p w14:paraId="22B4EFF8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 w:right="24" w:firstLine="30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均含三年免费升级服务，根据用户需求选装其一，并允许用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户在3个月试用期内更换品牌或版本，预装符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合《党政机关公文格式》(GB/T9704-2012)字体标准的字体字库。</w:t>
            </w:r>
          </w:p>
        </w:tc>
      </w:tr>
      <w:tr w14:paraId="242FA4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9" w:hRule="atLeast"/>
        </w:trPr>
        <w:tc>
          <w:tcPr>
            <w:tcW w:w="794" w:type="dxa"/>
            <w:vMerge w:val="continue"/>
            <w:tcBorders>
              <w:top w:val="nil"/>
              <w:bottom w:val="nil"/>
            </w:tcBorders>
            <w:vAlign w:val="top"/>
          </w:tcPr>
          <w:p w14:paraId="0886414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top"/>
          </w:tcPr>
          <w:p w14:paraId="19EE49A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329" w:type="dxa"/>
            <w:vAlign w:val="top"/>
          </w:tcPr>
          <w:p w14:paraId="573141A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671CABB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6F8EB822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  <w:sz w:val="24"/>
                <w:szCs w:val="24"/>
              </w:rPr>
              <w:t>版式软件</w:t>
            </w:r>
          </w:p>
        </w:tc>
        <w:tc>
          <w:tcPr>
            <w:tcW w:w="5436" w:type="dxa"/>
            <w:vAlign w:val="top"/>
          </w:tcPr>
          <w:p w14:paraId="675BF9B6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 w:right="34" w:firstLine="20"/>
              <w:jc w:val="both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1.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福昕OFD版式(Linux版)</w:t>
            </w:r>
          </w:p>
          <w:p w14:paraId="237F8473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 w:right="34" w:firstLine="20"/>
              <w:jc w:val="both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2.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数科OFD文档处理软件</w:t>
            </w:r>
          </w:p>
          <w:p w14:paraId="50A4973B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 w:right="34" w:firstLine="20"/>
              <w:jc w:val="both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3.书生阅读器软件</w:t>
            </w:r>
          </w:p>
          <w:p w14:paraId="22BA304E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 w:right="34" w:firstLine="20"/>
              <w:jc w:val="both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均含三年免费升级服务，根据用户需求选装其一，并允许用</w:t>
            </w:r>
            <w:r>
              <w:rPr>
                <w:rFonts w:hint="eastAsia" w:ascii="微软雅黑" w:hAnsi="微软雅黑" w:eastAsia="微软雅黑" w:cs="微软雅黑"/>
                <w:spacing w:val="-1"/>
                <w:sz w:val="24"/>
                <w:szCs w:val="24"/>
              </w:rPr>
              <w:t>户在3个月试用期内更换品牌或版本。</w:t>
            </w:r>
          </w:p>
        </w:tc>
      </w:tr>
      <w:tr w14:paraId="31EFFA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8" w:hRule="atLeast"/>
        </w:trPr>
        <w:tc>
          <w:tcPr>
            <w:tcW w:w="794" w:type="dxa"/>
            <w:vMerge w:val="continue"/>
            <w:tcBorders>
              <w:top w:val="nil"/>
              <w:bottom w:val="nil"/>
            </w:tcBorders>
            <w:vAlign w:val="top"/>
          </w:tcPr>
          <w:p w14:paraId="2C73395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top"/>
          </w:tcPr>
          <w:p w14:paraId="572E478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329" w:type="dxa"/>
            <w:vAlign w:val="top"/>
          </w:tcPr>
          <w:p w14:paraId="128116E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34218FE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60E9629E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right="149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4"/>
                <w:sz w:val="24"/>
                <w:szCs w:val="24"/>
              </w:rPr>
              <w:t>安全管理</w:t>
            </w:r>
            <w:r>
              <w:rPr>
                <w:rFonts w:hint="eastAsia" w:ascii="微软雅黑" w:hAnsi="微软雅黑" w:eastAsia="微软雅黑" w:cs="微软雅黑"/>
                <w:spacing w:val="-3"/>
                <w:sz w:val="24"/>
                <w:szCs w:val="24"/>
              </w:rPr>
              <w:t>软件</w:t>
            </w:r>
          </w:p>
        </w:tc>
        <w:tc>
          <w:tcPr>
            <w:tcW w:w="5436" w:type="dxa"/>
            <w:vAlign w:val="top"/>
          </w:tcPr>
          <w:p w14:paraId="2351CF36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 w:right="34" w:firstLine="20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1.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360终端安全防护系统</w:t>
            </w:r>
          </w:p>
          <w:p w14:paraId="683BDA79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 w:right="34" w:firstLine="20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2.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北信源防病毒系统</w:t>
            </w:r>
          </w:p>
          <w:p w14:paraId="7F945129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 w:right="34" w:firstLine="20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3.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奇安信网神终端安全管理系统</w:t>
            </w:r>
          </w:p>
          <w:p w14:paraId="1A1D60E1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 w:right="34" w:firstLine="20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4.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安恒UES终端安全管理系统</w:t>
            </w:r>
          </w:p>
          <w:p w14:paraId="5C4D8411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 w:right="34" w:firstLine="20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5.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亚信安全信端端点安全管理软件</w:t>
            </w:r>
          </w:p>
          <w:p w14:paraId="05FF0C52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 w:right="34" w:firstLine="20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6.其他(根据用户需求)</w:t>
            </w:r>
          </w:p>
          <w:p w14:paraId="2A31E4FF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 w:right="34" w:firstLine="20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均含三年免费升级服务，根据用户需求选装其一，并允许用</w:t>
            </w:r>
            <w:r>
              <w:rPr>
                <w:rFonts w:hint="eastAsia" w:ascii="微软雅黑" w:hAnsi="微软雅黑" w:eastAsia="微软雅黑" w:cs="微软雅黑"/>
                <w:spacing w:val="-1"/>
                <w:sz w:val="24"/>
                <w:szCs w:val="24"/>
              </w:rPr>
              <w:t>户在3个月试用期内更换品牌或版本。</w:t>
            </w:r>
          </w:p>
        </w:tc>
      </w:tr>
      <w:tr w14:paraId="7C3BF1B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794" w:type="dxa"/>
            <w:vMerge w:val="continue"/>
            <w:tcBorders>
              <w:top w:val="nil"/>
            </w:tcBorders>
            <w:vAlign w:val="top"/>
          </w:tcPr>
          <w:p w14:paraId="59E48F4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69" w:type="dxa"/>
            <w:vMerge w:val="continue"/>
            <w:tcBorders>
              <w:top w:val="nil"/>
            </w:tcBorders>
            <w:vAlign w:val="top"/>
          </w:tcPr>
          <w:p w14:paraId="19C470C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329" w:type="dxa"/>
            <w:vAlign w:val="top"/>
          </w:tcPr>
          <w:p w14:paraId="1D90775C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3"/>
                <w:sz w:val="24"/>
                <w:szCs w:val="24"/>
              </w:rPr>
              <w:t>其他</w:t>
            </w:r>
          </w:p>
        </w:tc>
        <w:tc>
          <w:tcPr>
            <w:tcW w:w="5436" w:type="dxa"/>
            <w:vAlign w:val="top"/>
          </w:tcPr>
          <w:p w14:paraId="5C949591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终端统一管理、智能办公助理或其他人工智能辅助类软件</w:t>
            </w:r>
          </w:p>
        </w:tc>
      </w:tr>
      <w:tr w14:paraId="06E573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794" w:type="dxa"/>
            <w:vMerge w:val="restart"/>
            <w:tcBorders>
              <w:bottom w:val="nil"/>
            </w:tcBorders>
            <w:vAlign w:val="top"/>
          </w:tcPr>
          <w:p w14:paraId="3C498B4D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55DDAE6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5319C37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26428F7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2F60B19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6802871A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335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3</w:t>
            </w:r>
          </w:p>
        </w:tc>
        <w:tc>
          <w:tcPr>
            <w:tcW w:w="1069" w:type="dxa"/>
            <w:vMerge w:val="restart"/>
            <w:tcBorders>
              <w:bottom w:val="nil"/>
            </w:tcBorders>
            <w:vAlign w:val="top"/>
          </w:tcPr>
          <w:p w14:paraId="1AEFF4B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5639A93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6393735F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302C784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567FA7B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2848EC66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00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2"/>
                <w:sz w:val="24"/>
                <w:szCs w:val="24"/>
              </w:rPr>
              <w:t>性能效率</w:t>
            </w:r>
          </w:p>
        </w:tc>
        <w:tc>
          <w:tcPr>
            <w:tcW w:w="1329" w:type="dxa"/>
            <w:vAlign w:val="top"/>
          </w:tcPr>
          <w:p w14:paraId="48E515F4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3"/>
                <w:sz w:val="24"/>
                <w:szCs w:val="24"/>
              </w:rPr>
              <w:t>开机</w:t>
            </w:r>
          </w:p>
        </w:tc>
        <w:tc>
          <w:tcPr>
            <w:tcW w:w="5436" w:type="dxa"/>
            <w:vAlign w:val="top"/>
          </w:tcPr>
          <w:p w14:paraId="7277AE6E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开机时间(从按下开机键到出现系统界面)为30秒</w:t>
            </w:r>
          </w:p>
        </w:tc>
      </w:tr>
      <w:tr w14:paraId="75338B6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</w:trPr>
        <w:tc>
          <w:tcPr>
            <w:tcW w:w="794" w:type="dxa"/>
            <w:vMerge w:val="continue"/>
            <w:tcBorders>
              <w:top w:val="nil"/>
              <w:bottom w:val="nil"/>
            </w:tcBorders>
            <w:vAlign w:val="top"/>
          </w:tcPr>
          <w:p w14:paraId="5E50CAE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top"/>
          </w:tcPr>
          <w:p w14:paraId="676B0E8F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329" w:type="dxa"/>
            <w:vAlign w:val="top"/>
          </w:tcPr>
          <w:p w14:paraId="52BFF824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  <w:sz w:val="24"/>
                <w:szCs w:val="24"/>
              </w:rPr>
              <w:t>文档加载</w:t>
            </w:r>
          </w:p>
        </w:tc>
        <w:tc>
          <w:tcPr>
            <w:tcW w:w="5436" w:type="dxa"/>
            <w:vAlign w:val="top"/>
          </w:tcPr>
          <w:p w14:paraId="6B2D3E5A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right="438"/>
              <w:jc w:val="both"/>
              <w:textAlignment w:val="baseline"/>
              <w:rPr>
                <w:rFonts w:hint="default" w:ascii="微软雅黑" w:hAnsi="微软雅黑" w:eastAsia="微软雅黑" w:cs="微软雅黑"/>
                <w:sz w:val="24"/>
                <w:szCs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加载10MWord文档的时间为3秒、加载10MExcel文档的时间为8秒、加载10MPPT文档的时间为3秒、加载500页PDF/OFD文档的时间为2秒</w:t>
            </w:r>
          </w:p>
        </w:tc>
      </w:tr>
      <w:tr w14:paraId="24FC21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9" w:hRule="atLeast"/>
        </w:trPr>
        <w:tc>
          <w:tcPr>
            <w:tcW w:w="794" w:type="dxa"/>
            <w:vMerge w:val="continue"/>
            <w:tcBorders>
              <w:top w:val="nil"/>
              <w:bottom w:val="nil"/>
            </w:tcBorders>
            <w:vAlign w:val="top"/>
          </w:tcPr>
          <w:p w14:paraId="4F14161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top"/>
          </w:tcPr>
          <w:p w14:paraId="140438DA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329" w:type="dxa"/>
            <w:vAlign w:val="top"/>
          </w:tcPr>
          <w:p w14:paraId="4BF59F88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  <w:sz w:val="24"/>
                <w:szCs w:val="24"/>
              </w:rPr>
              <w:t>光盘刻录</w:t>
            </w:r>
          </w:p>
        </w:tc>
        <w:tc>
          <w:tcPr>
            <w:tcW w:w="5436" w:type="dxa"/>
            <w:vAlign w:val="top"/>
          </w:tcPr>
          <w:p w14:paraId="1A12B482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right="339" w:firstLine="238" w:firstLineChars="100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1"/>
                <w:sz w:val="24"/>
                <w:szCs w:val="24"/>
              </w:rPr>
              <w:t>光盘刻录300M文件(含流式和版式综合性文档、视频文件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等)的时间为120秒</w:t>
            </w:r>
          </w:p>
        </w:tc>
      </w:tr>
      <w:tr w14:paraId="672249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794" w:type="dxa"/>
            <w:vMerge w:val="continue"/>
            <w:tcBorders>
              <w:top w:val="nil"/>
              <w:bottom w:val="nil"/>
            </w:tcBorders>
            <w:vAlign w:val="top"/>
          </w:tcPr>
          <w:p w14:paraId="27EE35D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top"/>
          </w:tcPr>
          <w:p w14:paraId="57CE3EF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329" w:type="dxa"/>
            <w:vAlign w:val="top"/>
          </w:tcPr>
          <w:p w14:paraId="56E63272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6"/>
                <w:sz w:val="24"/>
                <w:szCs w:val="24"/>
              </w:rPr>
              <w:t>文件拷贝</w:t>
            </w:r>
          </w:p>
        </w:tc>
        <w:tc>
          <w:tcPr>
            <w:tcW w:w="5436" w:type="dxa"/>
            <w:vAlign w:val="top"/>
          </w:tcPr>
          <w:p w14:paraId="037756A6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 w:right="339" w:firstLine="282" w:firstLineChars="114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4"/>
                <w:sz w:val="24"/>
                <w:szCs w:val="24"/>
              </w:rPr>
              <w:t>从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USB</w:t>
            </w:r>
            <w:r>
              <w:rPr>
                <w:rFonts w:hint="eastAsia" w:ascii="微软雅黑" w:hAnsi="微软雅黑" w:eastAsia="微软雅黑" w:cs="微软雅黑"/>
                <w:spacing w:val="4"/>
                <w:sz w:val="24"/>
                <w:szCs w:val="24"/>
              </w:rPr>
              <w:t>向硬盘拷贝300M文件(含流式和版式综合性文档、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视频文件等)的时间为8秒</w:t>
            </w:r>
          </w:p>
        </w:tc>
      </w:tr>
      <w:tr w14:paraId="461780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794" w:type="dxa"/>
            <w:vMerge w:val="continue"/>
            <w:tcBorders>
              <w:top w:val="nil"/>
              <w:bottom w:val="nil"/>
            </w:tcBorders>
            <w:vAlign w:val="top"/>
          </w:tcPr>
          <w:p w14:paraId="586BD56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69" w:type="dxa"/>
            <w:vMerge w:val="continue"/>
            <w:tcBorders>
              <w:top w:val="nil"/>
              <w:bottom w:val="nil"/>
            </w:tcBorders>
            <w:vAlign w:val="top"/>
          </w:tcPr>
          <w:p w14:paraId="68FA000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329" w:type="dxa"/>
            <w:vAlign w:val="top"/>
          </w:tcPr>
          <w:p w14:paraId="50AD5B92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  <w:sz w:val="24"/>
                <w:szCs w:val="24"/>
              </w:rPr>
              <w:t>解压缩</w:t>
            </w:r>
          </w:p>
        </w:tc>
        <w:tc>
          <w:tcPr>
            <w:tcW w:w="5436" w:type="dxa"/>
            <w:vAlign w:val="top"/>
          </w:tcPr>
          <w:p w14:paraId="43BD83CD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right="253" w:firstLine="240" w:firstLineChars="100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解压或压缩300M文件(含流式和版式综合性文档、视频文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件等)的时间为8秒</w:t>
            </w:r>
          </w:p>
        </w:tc>
      </w:tr>
      <w:tr w14:paraId="442B73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794" w:type="dxa"/>
            <w:vMerge w:val="continue"/>
            <w:tcBorders>
              <w:top w:val="nil"/>
            </w:tcBorders>
            <w:vAlign w:val="top"/>
          </w:tcPr>
          <w:p w14:paraId="53616C5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69" w:type="dxa"/>
            <w:vMerge w:val="continue"/>
            <w:tcBorders>
              <w:top w:val="nil"/>
            </w:tcBorders>
            <w:vAlign w:val="top"/>
          </w:tcPr>
          <w:p w14:paraId="7F1F01AB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329" w:type="dxa"/>
            <w:vAlign w:val="top"/>
          </w:tcPr>
          <w:p w14:paraId="738EA381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4"/>
                <w:sz w:val="24"/>
                <w:szCs w:val="24"/>
              </w:rPr>
              <w:t>续航能力</w:t>
            </w:r>
          </w:p>
        </w:tc>
        <w:tc>
          <w:tcPr>
            <w:tcW w:w="5436" w:type="dxa"/>
            <w:vAlign w:val="top"/>
          </w:tcPr>
          <w:p w14:paraId="3E077427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电池容量56Wh,满载待机时间可达14小时</w:t>
            </w:r>
          </w:p>
        </w:tc>
      </w:tr>
      <w:tr w14:paraId="0C62E9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9" w:hRule="atLeast"/>
        </w:trPr>
        <w:tc>
          <w:tcPr>
            <w:tcW w:w="794" w:type="dxa"/>
            <w:vMerge w:val="restart"/>
            <w:vAlign w:val="top"/>
          </w:tcPr>
          <w:p w14:paraId="1DB1698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66923749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335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4</w:t>
            </w:r>
          </w:p>
        </w:tc>
        <w:tc>
          <w:tcPr>
            <w:tcW w:w="1069" w:type="dxa"/>
            <w:vMerge w:val="restart"/>
            <w:vAlign w:val="top"/>
          </w:tcPr>
          <w:p w14:paraId="5605839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  <w:p w14:paraId="01B8947C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100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  <w:sz w:val="24"/>
                <w:szCs w:val="24"/>
              </w:rPr>
              <w:t>售后服务</w:t>
            </w:r>
          </w:p>
        </w:tc>
        <w:tc>
          <w:tcPr>
            <w:tcW w:w="1329" w:type="dxa"/>
            <w:vAlign w:val="top"/>
          </w:tcPr>
          <w:p w14:paraId="5A9D9AA3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  <w:sz w:val="24"/>
                <w:szCs w:val="24"/>
              </w:rPr>
              <w:t>保修服务</w:t>
            </w:r>
          </w:p>
        </w:tc>
        <w:tc>
          <w:tcPr>
            <w:tcW w:w="5436" w:type="dxa"/>
            <w:vAlign w:val="top"/>
          </w:tcPr>
          <w:p w14:paraId="77EB32F7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83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整机原厂3年保修及3年上门服务，包含部件：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CPU</w:t>
            </w:r>
            <w:r>
              <w:rPr>
                <w:rFonts w:hint="eastAsia" w:ascii="微软雅黑" w:hAnsi="微软雅黑" w:eastAsia="微软雅黑" w:cs="微软雅黑"/>
                <w:spacing w:val="1"/>
                <w:sz w:val="24"/>
                <w:szCs w:val="24"/>
              </w:rPr>
              <w:t>(含内</w:t>
            </w:r>
            <w:r>
              <w:rPr>
                <w:rFonts w:hint="eastAsia" w:ascii="微软雅黑" w:hAnsi="微软雅黑" w:eastAsia="微软雅黑" w:cs="微软雅黑"/>
                <w:spacing w:val="-1"/>
                <w:sz w:val="24"/>
                <w:szCs w:val="24"/>
              </w:rPr>
              <w:t>存)、电源、集成显卡、主板及主板不可分割的部件、显示器等齐套保修服务</w:t>
            </w:r>
          </w:p>
        </w:tc>
      </w:tr>
      <w:tr w14:paraId="04E1D8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1" w:hRule="atLeast"/>
        </w:trPr>
        <w:tc>
          <w:tcPr>
            <w:tcW w:w="794" w:type="dxa"/>
            <w:vMerge w:val="continue"/>
            <w:vAlign w:val="top"/>
          </w:tcPr>
          <w:p w14:paraId="4D497D66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69" w:type="dxa"/>
            <w:vMerge w:val="continue"/>
            <w:vAlign w:val="top"/>
          </w:tcPr>
          <w:p w14:paraId="50821E5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329" w:type="dxa"/>
            <w:vAlign w:val="top"/>
          </w:tcPr>
          <w:p w14:paraId="5F7EC167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  <w:sz w:val="24"/>
                <w:szCs w:val="24"/>
              </w:rPr>
              <w:t>服务时效</w:t>
            </w:r>
          </w:p>
        </w:tc>
        <w:tc>
          <w:tcPr>
            <w:tcW w:w="5436" w:type="dxa"/>
            <w:vAlign w:val="top"/>
          </w:tcPr>
          <w:p w14:paraId="230ADE48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提供7×24小时电话服务、到现场服务不超过4小时</w:t>
            </w:r>
          </w:p>
        </w:tc>
      </w:tr>
      <w:tr w14:paraId="4BDC45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1" w:hRule="atLeast"/>
        </w:trPr>
        <w:tc>
          <w:tcPr>
            <w:tcW w:w="794" w:type="dxa"/>
            <w:vMerge w:val="continue"/>
            <w:vAlign w:val="top"/>
          </w:tcPr>
          <w:p w14:paraId="0A94098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069" w:type="dxa"/>
            <w:vMerge w:val="continue"/>
            <w:vAlign w:val="top"/>
          </w:tcPr>
          <w:p w14:paraId="7AB8A7B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</w:p>
        </w:tc>
        <w:tc>
          <w:tcPr>
            <w:tcW w:w="1329" w:type="dxa"/>
            <w:vAlign w:val="top"/>
          </w:tcPr>
          <w:p w14:paraId="273E2D05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baseline"/>
              <w:rPr>
                <w:rFonts w:hint="eastAsia" w:ascii="微软雅黑" w:hAnsi="微软雅黑" w:eastAsia="微软雅黑" w:cs="微软雅黑"/>
                <w:spacing w:val="-2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pacing w:val="-2"/>
                <w:sz w:val="24"/>
                <w:szCs w:val="24"/>
              </w:rPr>
              <w:t>本地化服务要求</w:t>
            </w:r>
          </w:p>
        </w:tc>
        <w:tc>
          <w:tcPr>
            <w:tcW w:w="5436" w:type="dxa"/>
            <w:vAlign w:val="top"/>
          </w:tcPr>
          <w:p w14:paraId="394594D4">
            <w:pPr>
              <w:pStyle w:val="9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ind w:left="73"/>
              <w:jc w:val="left"/>
              <w:textAlignment w:val="baseline"/>
              <w:rPr>
                <w:rFonts w:hint="eastAsia" w:ascii="微软雅黑" w:hAnsi="微软雅黑" w:eastAsia="微软雅黑" w:cs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服务响应时间：供应商在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湖州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必须提供本地化服务（含驻场工程师服务）；需中标单位15分钟内电话响应，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1小时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</w:rPr>
              <w:t>内到达现场解决，如现场无法解决需4小时内更换备件，不影响甲方使用。</w:t>
            </w:r>
          </w:p>
        </w:tc>
      </w:tr>
    </w:tbl>
    <w:p w14:paraId="11AE5165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left"/>
        <w:textAlignment w:val="baseline"/>
        <w:rPr>
          <w:rFonts w:hint="eastAsia" w:ascii="微软雅黑" w:hAnsi="微软雅黑" w:eastAsia="微软雅黑" w:cs="微软雅黑"/>
          <w:sz w:val="21"/>
        </w:rPr>
      </w:pPr>
    </w:p>
    <w:sectPr>
      <w:footerReference r:id="rId5" w:type="default"/>
      <w:pgSz w:w="12210" w:h="17050"/>
      <w:pgMar w:top="1449" w:right="1674" w:bottom="1342" w:left="1831" w:header="0" w:footer="1183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74A92C9">
    <w:pPr>
      <w:spacing w:line="171" w:lineRule="auto"/>
      <w:ind w:left="4258"/>
      <w:rPr>
        <w:rFonts w:ascii="宋体" w:hAnsi="宋体" w:eastAsia="宋体" w:cs="宋体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rsids>
    <w:rsidRoot w:val="00000000"/>
    <w:rsid w:val="06EA338C"/>
    <w:rsid w:val="074D4E8A"/>
    <w:rsid w:val="0C7D0506"/>
    <w:rsid w:val="18C9479A"/>
    <w:rsid w:val="1A264FFE"/>
    <w:rsid w:val="1A892BA3"/>
    <w:rsid w:val="1B316012"/>
    <w:rsid w:val="3852584A"/>
    <w:rsid w:val="54015DF3"/>
    <w:rsid w:val="65AE1138"/>
    <w:rsid w:val="6CAD4A62"/>
    <w:rsid w:val="77CC3A1C"/>
    <w:rsid w:val="7B890651"/>
    <w:rsid w:val="7F66499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Strong"/>
    <w:basedOn w:val="6"/>
    <w:qFormat/>
    <w:uiPriority w:val="0"/>
    <w:rPr>
      <w:b/>
    </w:rPr>
  </w:style>
  <w:style w:type="table" w:customStyle="1" w:styleId="8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Table Text"/>
    <w:basedOn w:val="1"/>
    <w:semiHidden/>
    <w:qFormat/>
    <w:uiPriority w:val="0"/>
    <w:rPr>
      <w:rFonts w:ascii="宋体" w:hAnsi="宋体" w:eastAsia="宋体" w:cs="宋体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4</Pages>
  <Words>1347</Words>
  <Characters>1552</Characters>
  <TotalTime>7</TotalTime>
  <ScaleCrop>false</ScaleCrop>
  <LinksUpToDate>false</LinksUpToDate>
  <CharactersWithSpaces>1622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2025-03-11T14:24:00Z</dcterms:created>
  <dc:creator>Kingsoft-PDF</dc:creator>
  <cp:lastModifiedBy>小飞</cp:lastModifiedBy>
  <dcterms:modified xsi:type="dcterms:W3CDTF">2025-03-13T02:12:31Z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2025-03-11T14:24:47Z</vt:filetime>
  </property>
  <property fmtid="{D5CDD505-2E9C-101B-9397-08002B2CF9AE}" pid="4" name="UsrData">
    <vt:lpwstr>67cfd72cdf67f30020cef2f7wl</vt:lpwstr>
  </property>
  <property fmtid="{D5CDD505-2E9C-101B-9397-08002B2CF9AE}" pid="5" name="KSOTemplateDocerSaveRecord">
    <vt:lpwstr>eyJoZGlkIjoiOWI4YWVjNDkyNDhjOTdhZmQxMGM4YWIyMjkyNGQxMjkiLCJ1c2VySWQiOiIxMDUwNTE0MzAwIn0=</vt:lpwstr>
  </property>
  <property fmtid="{D5CDD505-2E9C-101B-9397-08002B2CF9AE}" pid="6" name="KSOProductBuildVer">
    <vt:lpwstr>2052-12.1.0.20305</vt:lpwstr>
  </property>
  <property fmtid="{D5CDD505-2E9C-101B-9397-08002B2CF9AE}" pid="7" name="ICV">
    <vt:lpwstr>A0FC32718C494B41A94084EA174967A0_13</vt:lpwstr>
  </property>
</Properties>
</file>